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DB9" w:rsidRDefault="002C0DB9" w:rsidP="002C0DB9">
      <w:pPr>
        <w:shd w:val="clear" w:color="auto" w:fill="FFFFFF"/>
        <w:spacing w:before="84" w:after="0"/>
        <w:outlineLvl w:val="0"/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  <w:r w:rsidRPr="002C0DB9">
        <w:rPr>
          <w:rFonts w:ascii="Arial" w:hAnsi="Arial" w:cs="Arial"/>
          <w:color w:val="333333"/>
          <w:sz w:val="32"/>
          <w:szCs w:val="32"/>
          <w:shd w:val="clear" w:color="auto" w:fill="FFFFFF"/>
        </w:rPr>
        <w:t>Ministero dell'interno</w:t>
      </w:r>
      <w:r w:rsidRPr="002C0DB9">
        <w:rPr>
          <w:rFonts w:ascii="Arial" w:hAnsi="Arial" w:cs="Arial"/>
          <w:color w:val="333333"/>
          <w:sz w:val="25"/>
          <w:szCs w:val="25"/>
          <w:shd w:val="clear" w:color="auto" w:fill="FFFFFF"/>
        </w:rPr>
        <w:br/>
      </w: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>Circ. 9-4-2013 n. DCPREV/4756</w:t>
      </w:r>
      <w:r>
        <w:rPr>
          <w:rFonts w:ascii="Arial" w:hAnsi="Arial" w:cs="Arial"/>
          <w:color w:val="333333"/>
          <w:sz w:val="25"/>
          <w:szCs w:val="25"/>
        </w:rPr>
        <w:br/>
      </w: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>D.P.R. 1 agosto 2011, n. 151, allegato I - Attività n. 66, 72, 73.</w:t>
      </w:r>
    </w:p>
    <w:p w:rsidR="00293F80" w:rsidRPr="00293F80" w:rsidRDefault="00293F80" w:rsidP="002C0DB9">
      <w:pPr>
        <w:shd w:val="clear" w:color="auto" w:fill="FFFFFF"/>
        <w:spacing w:before="84" w:after="0"/>
        <w:outlineLvl w:val="0"/>
        <w:rPr>
          <w:rFonts w:ascii="Georgia" w:eastAsia="Times New Roman" w:hAnsi="Georgia" w:cs="Times New Roman"/>
          <w:color w:val="222222"/>
          <w:kern w:val="36"/>
          <w:sz w:val="28"/>
          <w:szCs w:val="28"/>
          <w:lang w:eastAsia="it-IT"/>
        </w:rPr>
      </w:pPr>
      <w:r w:rsidRPr="00293F80">
        <w:rPr>
          <w:rFonts w:ascii="Georgia" w:eastAsia="Times New Roman" w:hAnsi="Georgia" w:cs="Times New Roman"/>
          <w:color w:val="222222"/>
          <w:kern w:val="36"/>
          <w:sz w:val="28"/>
          <w:szCs w:val="28"/>
          <w:lang w:eastAsia="it-IT"/>
        </w:rPr>
        <w:t>Chiarimenti al DPR 151: assoggettabilità di villaggi vacanza, edifici storici e terziario</w:t>
      </w:r>
    </w:p>
    <w:p w:rsidR="00293F80" w:rsidRPr="00293F80" w:rsidRDefault="00293F80" w:rsidP="00293F80">
      <w:pPr>
        <w:shd w:val="clear" w:color="auto" w:fill="FFFFFF"/>
        <w:spacing w:before="100" w:beforeAutospacing="1" w:after="100" w:afterAutospacing="1" w:line="301" w:lineRule="atLeast"/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</w:pPr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>Pervengono a questa Direzione Centrale numerose richieste intese ad ottenere chiarimenti interpretativi su alcuni punti dell’elenco delle attività soggette ai procedimenti di prevenzione incendi di cui all’allegato I al D.P.R. n. 151/2011. Al riguardo, per una uniforme applicazione del citato decreto, si forniscono di seguito i chiarimenti ai punti in oggetto.</w:t>
      </w:r>
    </w:p>
    <w:p w:rsidR="00293F80" w:rsidRPr="00293F80" w:rsidRDefault="00293F80" w:rsidP="00293F80">
      <w:pPr>
        <w:shd w:val="clear" w:color="auto" w:fill="FFFFFF"/>
        <w:spacing w:before="100" w:beforeAutospacing="1" w:after="100" w:afterAutospacing="1" w:line="301" w:lineRule="atLeast"/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</w:pPr>
      <w:r w:rsidRPr="00293F80">
        <w:rPr>
          <w:rFonts w:ascii="Times New Roman" w:eastAsia="Times New Roman" w:hAnsi="Times New Roman" w:cs="Times New Roman"/>
          <w:b/>
          <w:bCs/>
          <w:color w:val="444444"/>
          <w:sz w:val="23"/>
          <w:lang w:eastAsia="it-IT"/>
        </w:rPr>
        <w:t>-  D.P.R. n. 151/2011, all. 1, punto n. 66):</w:t>
      </w:r>
      <w:r w:rsidRPr="00293F80">
        <w:rPr>
          <w:rFonts w:ascii="Times New Roman" w:eastAsia="Times New Roman" w:hAnsi="Times New Roman" w:cs="Times New Roman"/>
          <w:color w:val="444444"/>
          <w:sz w:val="23"/>
          <w:lang w:eastAsia="it-IT"/>
        </w:rPr>
        <w:t> </w:t>
      </w:r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 xml:space="preserve">Alberghi, pensioni, motel, villaggi albergo, residenze turistico – alberghiere, studentati, villaggi turistici. alloggi agrituristici, ostelli per la gioventù. rifugi alpini, </w:t>
      </w:r>
      <w:proofErr w:type="spellStart"/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>bed</w:t>
      </w:r>
      <w:proofErr w:type="spellEnd"/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 xml:space="preserve"> &amp; breakfast, dormitori, case per ferie, con oltre 25 posti-letto; Strutture turistico – ricettive nell’aria aperta (campeggi, villaggi-turistici, ecc.) con capacità ricettiva superiore a 400 persone.</w:t>
      </w:r>
    </w:p>
    <w:p w:rsidR="00293F80" w:rsidRPr="00293F80" w:rsidRDefault="00293F80" w:rsidP="00293F80">
      <w:pPr>
        <w:shd w:val="clear" w:color="auto" w:fill="FFFFFF"/>
        <w:spacing w:before="100" w:beforeAutospacing="1" w:after="100" w:afterAutospacing="1" w:line="301" w:lineRule="atLeast"/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</w:pPr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 xml:space="preserve">Il punto n. 66 dell’allegato I al D.P.R. n. 151/2011 inserisce i villaggi turistici sia tra le strutture con oltre 25 posti letto che tra quelle turistico – ricettive nell’aria aperta. Al riguardo si chiarisce che i villaggi turistici rientrano esclusivamente tra le strutture turistico – ricettive in aria aperta e, quindi, sono soggetti alla disciplina dei procedimenti di prevenzione incendi se hanno una capacità ricettiva superiore a 400 persone. Qualora nel loro ambito fossero presenti singole unità immobiliari con oltre 25 posti letto, anche se la struttura non dovesse superare le 400 persone, si </w:t>
      </w:r>
      <w:proofErr w:type="spellStart"/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>conﬁgurerebbe</w:t>
      </w:r>
      <w:proofErr w:type="spellEnd"/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>, unicamente per tali unità immobiliari, l’attività indicata al primo capoverso del punto n. 66 del D.P.R. n. 151/2011.</w:t>
      </w:r>
    </w:p>
    <w:p w:rsidR="00293F80" w:rsidRPr="00293F80" w:rsidRDefault="00293F80" w:rsidP="00293F80">
      <w:pPr>
        <w:shd w:val="clear" w:color="auto" w:fill="FFFFFF"/>
        <w:spacing w:before="100" w:beforeAutospacing="1" w:after="100" w:afterAutospacing="1" w:line="301" w:lineRule="atLeast"/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</w:pPr>
      <w:r w:rsidRPr="00293F80">
        <w:rPr>
          <w:rFonts w:ascii="Times New Roman" w:eastAsia="Times New Roman" w:hAnsi="Times New Roman" w:cs="Times New Roman"/>
          <w:b/>
          <w:bCs/>
          <w:color w:val="444444"/>
          <w:sz w:val="23"/>
          <w:lang w:eastAsia="it-IT"/>
        </w:rPr>
        <w:t>- D.P.R. n. 151/2011, all. I, punto n. 72): </w:t>
      </w:r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>Edifici sottoposti a tutela ai sensi del d.lgs. 22 gennaio 2004, n. 42, aperti al pubblico, destinati a contenere biblioteche ed archivi, musei, gallerie, esposizioni e mostre, nonché qualsiasi altra attività contenuta nel presente Allegato.</w:t>
      </w:r>
    </w:p>
    <w:p w:rsidR="00293F80" w:rsidRPr="00293F80" w:rsidRDefault="00293F80" w:rsidP="00293F80">
      <w:pPr>
        <w:shd w:val="clear" w:color="auto" w:fill="FFFFFF"/>
        <w:spacing w:before="100" w:beforeAutospacing="1" w:after="100" w:afterAutospacing="1" w:line="301" w:lineRule="atLeast"/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</w:pPr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>In presenza di attività aperte al pubblico, l’obiettivo della tutela del bene culturale concorre con quello della sicurezza della vita umana sancito dall’art. 13 del D.Lgs. n. 139/2006, quindi le condizioni di assoggettabilità dipendono dalla destinazione d’uso dell’edificio sottoposto a tutela. Pertanto, si applica il punto n. 72 nei seguenti casi:</w:t>
      </w:r>
    </w:p>
    <w:p w:rsidR="00293F80" w:rsidRPr="00293F80" w:rsidRDefault="00293F80" w:rsidP="00293F80">
      <w:pPr>
        <w:shd w:val="clear" w:color="auto" w:fill="FFFFFF"/>
        <w:spacing w:before="100" w:beforeAutospacing="1" w:after="100" w:afterAutospacing="1" w:line="301" w:lineRule="atLeast"/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</w:pPr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 xml:space="preserve">a) biblioteche e archivi, musei, gallerie, esposizioni e mostre aperte al pubblico, collocate all’interno di </w:t>
      </w:r>
      <w:proofErr w:type="spellStart"/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>ediﬁci</w:t>
      </w:r>
      <w:proofErr w:type="spellEnd"/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 xml:space="preserve"> sottoposti a tutela ai sensi del D.Lgs. 22 gennaio 2004, n. 42;</w:t>
      </w:r>
    </w:p>
    <w:p w:rsidR="00293F80" w:rsidRPr="00293F80" w:rsidRDefault="00293F80" w:rsidP="00293F80">
      <w:pPr>
        <w:shd w:val="clear" w:color="auto" w:fill="FFFFFF"/>
        <w:spacing w:before="100" w:beforeAutospacing="1" w:after="100" w:afterAutospacing="1" w:line="301" w:lineRule="atLeast"/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</w:pPr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>b) una o più attività elencate nell’allegato I al D.P.R. n. 151/2011, e quindi soggette agli obblighi ivi previsti, se aperte al pubblico e svolte all’</w:t>
      </w:r>
      <w:proofErr w:type="spellStart"/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>intemo</w:t>
      </w:r>
      <w:proofErr w:type="spellEnd"/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 xml:space="preserve"> di </w:t>
      </w:r>
      <w:proofErr w:type="spellStart"/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>ediﬁci</w:t>
      </w:r>
      <w:proofErr w:type="spellEnd"/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 xml:space="preserve"> sottoposti a tutela ai sensi del D.Lgs. 22 gennaio 2004, n. 42.</w:t>
      </w:r>
    </w:p>
    <w:p w:rsidR="00293F80" w:rsidRPr="00293F80" w:rsidRDefault="00293F80" w:rsidP="00293F80">
      <w:pPr>
        <w:shd w:val="clear" w:color="auto" w:fill="FFFFFF"/>
        <w:spacing w:before="100" w:beforeAutospacing="1" w:after="100" w:afterAutospacing="1" w:line="301" w:lineRule="atLeast"/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</w:pPr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>Nel caso l’</w:t>
      </w:r>
      <w:proofErr w:type="spellStart"/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>ediﬁcio</w:t>
      </w:r>
      <w:proofErr w:type="spellEnd"/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 xml:space="preserve"> tutelato sia solo parzialmente occupato da biblioteche e archivi, musei,gallerie, esposizioni e mostre, si configura comunque l’attività di cui al punto n. 72 limitatamente alla porzione in cui viene svolta l’attività.</w:t>
      </w:r>
    </w:p>
    <w:p w:rsidR="00293F80" w:rsidRPr="00293F80" w:rsidRDefault="00293F80" w:rsidP="00293F80">
      <w:pPr>
        <w:shd w:val="clear" w:color="auto" w:fill="FFFFFF"/>
        <w:spacing w:before="100" w:beforeAutospacing="1" w:after="100" w:afterAutospacing="1" w:line="301" w:lineRule="atLeast"/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</w:pPr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lastRenderedPageBreak/>
        <w:t>Analoga conclusione deve farsi nel caso b), relativo ad edificio sottoposto a tutela occupato parzialmente da una o più attività, aperte al pubblico, elencate nell’allegato I al D.P.R. n. 151/2011 e soggette agli obblighi previsti dallo stesso decreto.</w:t>
      </w:r>
    </w:p>
    <w:p w:rsidR="00293F80" w:rsidRPr="00293F80" w:rsidRDefault="00293F80" w:rsidP="00293F80">
      <w:pPr>
        <w:shd w:val="clear" w:color="auto" w:fill="FFFFFF"/>
        <w:spacing w:before="100" w:beforeAutospacing="1" w:after="100" w:afterAutospacing="1" w:line="301" w:lineRule="atLeast"/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</w:pPr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>Potrà non configurarsi l’attività del punto n. 72 nel caso in cui all’</w:t>
      </w:r>
      <w:proofErr w:type="spellStart"/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>intemo</w:t>
      </w:r>
      <w:proofErr w:type="spellEnd"/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 xml:space="preserve"> dello stesso siano presenti una o più attività dell’allegato I al D.P.R. n. 151/2011, aperte al pubblico e soggette ai relativi adempimenti che sono, dal punto di vista antincendio, separate dal resto dell’</w:t>
      </w:r>
      <w:proofErr w:type="spellStart"/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>ediﬁcio</w:t>
      </w:r>
      <w:proofErr w:type="spellEnd"/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>. In tutti i casi sopra citati si dovranno osservare, ove presenti, le regole tecniche delle varie attività esercitate nell’edificio o i criteri generali di prevenzione incendi e della sicurezza nei luoghi di lavoro.</w:t>
      </w:r>
    </w:p>
    <w:p w:rsidR="00293F80" w:rsidRPr="00293F80" w:rsidRDefault="00293F80" w:rsidP="00293F80">
      <w:pPr>
        <w:shd w:val="clear" w:color="auto" w:fill="FFFFFF"/>
        <w:spacing w:before="100" w:beforeAutospacing="1" w:after="100" w:afterAutospacing="1" w:line="301" w:lineRule="atLeast"/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</w:pPr>
      <w:r w:rsidRPr="00293F80">
        <w:rPr>
          <w:rFonts w:ascii="Times New Roman" w:eastAsia="Times New Roman" w:hAnsi="Times New Roman" w:cs="Times New Roman"/>
          <w:b/>
          <w:bCs/>
          <w:color w:val="444444"/>
          <w:sz w:val="23"/>
          <w:lang w:eastAsia="it-IT"/>
        </w:rPr>
        <w:t>- D.P.R. n. 151/2011, all. I, punto n. 73):</w:t>
      </w:r>
      <w:r w:rsidRPr="00293F80">
        <w:rPr>
          <w:rFonts w:ascii="Times New Roman" w:eastAsia="Times New Roman" w:hAnsi="Times New Roman" w:cs="Times New Roman"/>
          <w:color w:val="444444"/>
          <w:sz w:val="23"/>
          <w:lang w:eastAsia="it-IT"/>
        </w:rPr>
        <w:t> </w:t>
      </w:r>
      <w:proofErr w:type="spellStart"/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>Ediﬁci</w:t>
      </w:r>
      <w:proofErr w:type="spellEnd"/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 xml:space="preserve"> e/o complessi edilizi a uso terziario e/o industriale caratterizzati da promiscuità strutturale e/o dei sistemi delle vie di esodo e/o impiantistica con presenza di persone superiore a 300 unità, ovvero di superficie complessiva superiore a 5.000 m2, indipendentemente dal numero di attività costituenti e dalla relativa diversa titolarità.</w:t>
      </w:r>
    </w:p>
    <w:p w:rsidR="00293F80" w:rsidRPr="00293F80" w:rsidRDefault="00293F80" w:rsidP="00293F80">
      <w:pPr>
        <w:shd w:val="clear" w:color="auto" w:fill="FFFFFF"/>
        <w:spacing w:before="100" w:beforeAutospacing="1" w:after="100" w:afterAutospacing="1" w:line="301" w:lineRule="atLeast"/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</w:pPr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 xml:space="preserve">Il punto n. 73 è diretto ad assoggettare ai controlli di prevenzione incendi, indipendentemente dalla diversa titolarità, quelle attività terziarie o industriali, elencate nell’allegato I del D.P.R. n. 151/2011, che per le loro caratteristiche non raggiungono le rispettive soglie </w:t>
      </w:r>
      <w:proofErr w:type="spellStart"/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>ﬁssate</w:t>
      </w:r>
      <w:proofErr w:type="spellEnd"/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 xml:space="preserve"> per l’assoggettamento e, conseguentemente, non risultano singolarmente tenute agli adempimenti previsti dallo stesso decreto. Ai </w:t>
      </w:r>
      <w:proofErr w:type="spellStart"/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>ﬁni</w:t>
      </w:r>
      <w:proofErr w:type="spellEnd"/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 xml:space="preserve"> dell’assoggettamento, si osserva inoltre che le predette attività devono essere necessariamente caratterizzate da comunione delle strutture e/o dei sistemi delle vie di esodo e/o degli impianti, così come </w:t>
      </w:r>
      <w:proofErr w:type="spellStart"/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>deﬁniti</w:t>
      </w:r>
      <w:proofErr w:type="spellEnd"/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 xml:space="preserve"> dal D.M. 7 agosto 2012.</w:t>
      </w:r>
    </w:p>
    <w:p w:rsidR="00293F80" w:rsidRPr="00293F80" w:rsidRDefault="00293F80" w:rsidP="00293F80">
      <w:pPr>
        <w:shd w:val="clear" w:color="auto" w:fill="FFFFFF"/>
        <w:spacing w:before="100" w:beforeAutospacing="1" w:after="100" w:afterAutospacing="1" w:line="301" w:lineRule="atLeast"/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</w:pPr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>Relativamente alla destinazione d’uso dell’</w:t>
      </w:r>
      <w:proofErr w:type="spellStart"/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>ediﬁcio</w:t>
      </w:r>
      <w:proofErr w:type="spellEnd"/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 xml:space="preserve"> e/o complesso edilizio, si evidenzia che sono da considerare come appartenenti al settore terziario, per esempio, le attività commerciali, gli </w:t>
      </w:r>
      <w:proofErr w:type="spellStart"/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>ufﬁci</w:t>
      </w:r>
      <w:proofErr w:type="spellEnd"/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>, le attività ricettive, le attività di servizi in generale, ecc. Non rientrano, pertanto, nell’attività del punto n. 73 le aree destinate a civile abitazione le quali, anche se parzialmente presenti nell’</w:t>
      </w:r>
      <w:proofErr w:type="spellStart"/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>ediﬁcio</w:t>
      </w:r>
      <w:proofErr w:type="spellEnd"/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 xml:space="preserve"> o complesso di </w:t>
      </w:r>
      <w:proofErr w:type="spellStart"/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>ediﬁci</w:t>
      </w:r>
      <w:proofErr w:type="spellEnd"/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 xml:space="preserve">, non concorrono nel computo dei parametri </w:t>
      </w:r>
      <w:proofErr w:type="spellStart"/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>ﬁssati</w:t>
      </w:r>
      <w:proofErr w:type="spellEnd"/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 xml:space="preserve"> per determinare l’assoggettamento o meno agli obblighi del D.P.R. n. 151/2011. Nel caso in cui nell’</w:t>
      </w:r>
      <w:proofErr w:type="spellStart"/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>ediﬁcio</w:t>
      </w:r>
      <w:proofErr w:type="spellEnd"/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 xml:space="preserve"> o complesso edilizio siano presenti attività incluse nell’allegato I al D.P.R. n. 151/2011 e soggette, pertanto, ai relativi adempimenti, ma separate dal resto dell’edificio, con strutture di idonea resistenza al fuoco e con impianti e vie di esodo propri, le stesse non saranno considerate ai </w:t>
      </w:r>
      <w:proofErr w:type="spellStart"/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>ﬁni</w:t>
      </w:r>
      <w:proofErr w:type="spellEnd"/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 xml:space="preserve"> del computo dei parametri </w:t>
      </w:r>
      <w:proofErr w:type="spellStart"/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>ﬁssati</w:t>
      </w:r>
      <w:proofErr w:type="spellEnd"/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 xml:space="preserve"> per il punto n. 73; nel caso contrario le stesse attività saranno computate ai </w:t>
      </w:r>
      <w:proofErr w:type="spellStart"/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>ﬁni</w:t>
      </w:r>
      <w:proofErr w:type="spellEnd"/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 xml:space="preserve"> del raggiungimento delle soglie per l’assoggettabilità al punto n. 73. In entrambi i casi prima descritti, per il responsabile delle attività incluse nell’allegato I al D.P.R. n. 151/2011, ricorreranno gli obblighi previsti dallo stesso .decreto per la propria attività, oltre a quelli derivanti dalle comunioni presenti in concreto nell’</w:t>
      </w:r>
      <w:proofErr w:type="spellStart"/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>ediﬁcio</w:t>
      </w:r>
      <w:proofErr w:type="spellEnd"/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>.</w:t>
      </w:r>
    </w:p>
    <w:p w:rsidR="00293F80" w:rsidRPr="00293F80" w:rsidRDefault="00293F80" w:rsidP="00293F80">
      <w:pPr>
        <w:shd w:val="clear" w:color="auto" w:fill="FFFFFF"/>
        <w:spacing w:before="100" w:beforeAutospacing="1" w:after="100" w:afterAutospacing="1" w:line="301" w:lineRule="atLeast"/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</w:pPr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>Resta inteso che il responsabile dell’attività che si configura al n.73 provvederà alla valutazione dei rischi interferenziali tra le attività presenti nell’</w:t>
      </w:r>
      <w:proofErr w:type="spellStart"/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>ediﬁcio</w:t>
      </w:r>
      <w:proofErr w:type="spellEnd"/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>, riferiti alla comunione delle strutture e/o dei sistemi delle vie di esodo e/o degli impianti.</w:t>
      </w:r>
    </w:p>
    <w:p w:rsidR="00293F80" w:rsidRPr="00293F80" w:rsidRDefault="00293F80" w:rsidP="00293F80">
      <w:pPr>
        <w:shd w:val="clear" w:color="auto" w:fill="FFFFFF"/>
        <w:spacing w:before="100" w:beforeAutospacing="1" w:after="100" w:afterAutospacing="1" w:line="301" w:lineRule="atLeast"/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</w:pPr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t>Le singole attività ubicate nell’edificio e/o complesso edilizio assoggettato come n.73, dovranno osservare, ove presenti, le regole tecniche pertinenti l’attività esercitata o i criteri generali di prevenzione incendi e della sicurezza nei luoghi di lavoro.</w:t>
      </w:r>
    </w:p>
    <w:p w:rsidR="00293F80" w:rsidRPr="00293F80" w:rsidRDefault="00293F80" w:rsidP="00293F80">
      <w:pPr>
        <w:shd w:val="clear" w:color="auto" w:fill="FFFFFF"/>
        <w:spacing w:before="100" w:beforeAutospacing="1" w:after="100" w:afterAutospacing="1" w:line="301" w:lineRule="atLeast"/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</w:pPr>
      <w:r w:rsidRPr="00293F80">
        <w:rPr>
          <w:rFonts w:ascii="Times New Roman" w:eastAsia="Times New Roman" w:hAnsi="Times New Roman" w:cs="Times New Roman"/>
          <w:color w:val="444444"/>
          <w:sz w:val="23"/>
          <w:szCs w:val="23"/>
          <w:lang w:eastAsia="it-IT"/>
        </w:rPr>
        <w:lastRenderedPageBreak/>
        <w:t>Al fine degli adempimenti di cui al D.P.R. n. 151/2011, le istanze o le segnalazioni certificate di inizio attività potranno essere sottoscritte congiuntamente da tutti responsabili delle attività che configurano la n. 73 o da un loro incaricato.</w:t>
      </w:r>
    </w:p>
    <w:p w:rsidR="00804675" w:rsidRDefault="00804675"/>
    <w:sectPr w:rsidR="00804675" w:rsidSect="008046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293F80"/>
    <w:rsid w:val="00293F80"/>
    <w:rsid w:val="002C0DB9"/>
    <w:rsid w:val="00426F3D"/>
    <w:rsid w:val="0080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675"/>
  </w:style>
  <w:style w:type="paragraph" w:styleId="Titolo1">
    <w:name w:val="heading 1"/>
    <w:basedOn w:val="Normale"/>
    <w:link w:val="Titolo1Carattere"/>
    <w:uiPriority w:val="9"/>
    <w:qFormat/>
    <w:rsid w:val="00293F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3F8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9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93F80"/>
    <w:rPr>
      <w:b/>
      <w:bCs/>
    </w:rPr>
  </w:style>
  <w:style w:type="character" w:customStyle="1" w:styleId="apple-converted-space">
    <w:name w:val="apple-converted-space"/>
    <w:basedOn w:val="Carpredefinitoparagrafo"/>
    <w:rsid w:val="00293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7406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1038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Salvatore</cp:lastModifiedBy>
  <cp:revision>2</cp:revision>
  <dcterms:created xsi:type="dcterms:W3CDTF">2013-10-04T14:24:00Z</dcterms:created>
  <dcterms:modified xsi:type="dcterms:W3CDTF">2013-10-04T14:29:00Z</dcterms:modified>
</cp:coreProperties>
</file>